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284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object w:dxaOrig="4615" w:dyaOrig="3072">
          <v:rect xmlns:o="urn:schemas-microsoft-com:office:office" xmlns:v="urn:schemas-microsoft-com:vml" id="rectole0000000000" style="width:230.750000pt;height:153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июня 2018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Геннадий Розенберг: плачевные итоги реформирования Российской академии наук (2013-2018 гг.)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Геннадий Розенберг, главный научный сотрудник Института экологии Волжского бассейна РАН, чл.-корр. РАН, член Русского ботанического общества по просьбе газеты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Flora foliumii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https://drive.google.com/file/d/1KxWPpcSEMwshW0_XfJ1UX8JANCpDgTf_/view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провел оценку прошедшей реорганизации РАН.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Моя оценка прошедшей реорганизации РАН крайне отрицательна. Я считаю это самой большой стратегической ошибкой руководства нашей страны, – переподчинить институты РАН любой другой организации, это все равно, что отобрать у РПЦ все церкви и перепоручить 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эффективное управление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например, какому-нибудь ФАЦО (я не зря сравнил эти две организации: по всем опросам 2013 года именно РАН и РПЦ возглавляли список структур, которым наиболее доверяют россияне).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работаю в системе Академии наук 45 лет и кроме двухгодичной службы в рядах Советской армии в моей трудовой книжке только одна запись – АН СССР и Российская академия наук (причем, 28 лет возглавлял Институт экологии Волжского бассейна РАН; в этом году ФАНО освободило меня от должности в силу достижения предельного возраста, не сказав даже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спасибо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ну, да ладно, не за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спасибо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ФАНО трудился…). Я шел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науку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именно в Академию наук, в детище Петра Великого и скорее всего никогда не пошел бы работать в систему какого-то ФАНО, ГКНТ или других буквосочетаний. И когда меня просто росчерком пера вместе с оборудованием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переучредили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РАН в ФАНО (а сейчас, скорее всего, в Министерство науки и образования), я почувствовал себя обворованным. Но это – мои личные обиды, хотя уверен, что подобные чувства испытывают большинство членов Академии.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проведенные за пять лет преобразования РАН привели к тому, что в Институтах утерян дух творческой научной свободы. Поставленные во главе ФАНО финансисты (возможно, и не плохие) заставили мерить науку в тех единицах, которые им понятны, – в трудоднях (нормо-часах), показателях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дорожных карт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разного рода библиографических индексах (о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хиршивости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нашей науки я писал в журнале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Биосфера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2018, № 2),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разделили нас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научных сотрудников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научных работников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весьма изощренный способ внести раздрай в коллективы), лишили самостоятельности многие институты, объединив их в разного рода региональные федеральные центры. А ведь только внутренняя свобода творчества позволила, например, Дмитрию Менделееву открыть периодическую таблицу химических элементов, Николаю Вавилову – закон гомологичных рядов и центры происхождения культурных растений, а Григорию Перельману решить одну из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вечных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математических проблем.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представляется, что до тех пор, пока институты, в названии которых, кстати, сохранились старые аббревиатуры (РАН, РАМН, РАСХН), не будут возвращены в свое традиционное лоно (пусть даже в объединенную РАН), ожидать каких-то положительных подвижек в развитии отечественной академической (фундаментальной) науки не приходится. Именно это должны понять и Президент, и новое Правительство. Погоня за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хиршами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веб-оф-сайнсами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уже привела к деградации (банкротству) крупнейшего отечественного издательства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тяжелые времена переживают наши академические журналы, фактически, прекратила свое существование научная аспирантура (а чего проще, ввести представление об аспиРАНтуре, разработать соответствующие документы и, при наличии доброй воли, принять их, – возможно, это должно стать одним из первых и положительных дел нового Министерства). Тогда, поднимая роль научных советов при Отделениях РАН, можно рассчитывать и на рост эффективности самой Российской академии наук, идущей к своему 300-летию (повторюсь: этот юбилей без академических институтов будет выглядеть весьма печально). Иными словами, надо признать ошибочность решений 2013 года (ученые как никто знают, что не каждый эксрперимент ведет к успеху) и вернуться на пять лет назад к выполнению пунктов программы модернизации РАН Владимира Фортова…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s://drive.google.com/file/d/1KxWPpcSEMwshW0_XfJ1UX8JANCpDgTf_/view" Id="docRId2" Type="http://schemas.openxmlformats.org/officeDocument/2006/relationships/hyperlink"/><Relationship Target="styles.xml" Id="docRId4" Type="http://schemas.openxmlformats.org/officeDocument/2006/relationships/styles"/></Relationships>
</file>